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CE5E" w14:textId="77777777" w:rsidR="00E03D85" w:rsidRDefault="009939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DE METAS FISCAIS</w:t>
      </w:r>
    </w:p>
    <w:p w14:paraId="1D0DB581" w14:textId="77777777" w:rsidR="00E03D85" w:rsidRDefault="00E03D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8E909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>Em atendimento ao que determina o § 2º, inciso II do artigo 4º da Lei Complementar nº 101 de 04 de maio de 2000 – Lei de Responsabilidade Fiscal – fica apresentada a memória e metodologia de cálculo para obtenção dos valores dos anexos fiscais. No preenchimento dos quadros fiscais foram adotados os seguintes parâmetros e projeções das políticas monetárias, creditícia e cambial, bem como as metas de inflação (IPCA-E):</w:t>
      </w:r>
    </w:p>
    <w:p w14:paraId="3510C993" w14:textId="77777777" w:rsidR="00E03D85" w:rsidRDefault="00E03D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1D4EE" w14:textId="77777777" w:rsidR="00E03D85" w:rsidRDefault="00993975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057C64B1" wp14:editId="102F8E28">
            <wp:extent cx="4697250" cy="1628775"/>
            <wp:effectExtent l="0" t="0" r="0" b="0"/>
            <wp:docPr id="157053609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2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22A812" w14:textId="77777777" w:rsidR="00E03D85" w:rsidRPr="00897514" w:rsidRDefault="00E03D85" w:rsidP="00897514">
      <w:pPr>
        <w:ind w:firstLine="1134"/>
        <w:jc w:val="center"/>
        <w:rPr>
          <w:rFonts w:ascii="Arial" w:eastAsia="Times New Roman" w:hAnsi="Arial" w:cs="Arial"/>
          <w:sz w:val="24"/>
          <w:szCs w:val="24"/>
        </w:rPr>
      </w:pPr>
    </w:p>
    <w:p w14:paraId="77968CCF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>Para obtenção dos valores correntes, foram utilizadas a arrecadação orçamentária do exercício de 2022, a previsão orçamentária para 2023 e as projeções para os exercícios de 2024 a 2026, considerando nestas projeções os índices de inflação e o PIB dos respectivos períodos.</w:t>
      </w:r>
    </w:p>
    <w:p w14:paraId="65A4CBF8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 xml:space="preserve">Os valores a preços constantes equivalem aos valores correntes abstraídos da variação do poder aquisitivo da moeda, ou seja, expurgando os índices de inflação ou deflação aplicados no cálculo do valor atual. </w:t>
      </w:r>
    </w:p>
    <w:p w14:paraId="7E31E326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>Para melhor entendimento, cabem os seguintes conceitos:</w:t>
      </w:r>
    </w:p>
    <w:p w14:paraId="5AE424E2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 xml:space="preserve">Receitas Primárias – correspondem ao total da receita orçamentária, deduzidos os rendimentos de aplicações financeiras, as operações de crédito, a alienação de ativos, a amortização de empréstimos e as receitas de privatizações. </w:t>
      </w:r>
    </w:p>
    <w:p w14:paraId="7D67EA82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 xml:space="preserve">Despesa Primária – corresponde ao total da despesa orçamentária, deduzidas as despesas com juros, encargos e amortização da dívida, com concessão de empréstimos com retorno garantido e com a aquisição de títulos de capital integralizado. </w:t>
      </w:r>
    </w:p>
    <w:p w14:paraId="169C7976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lastRenderedPageBreak/>
        <w:t xml:space="preserve">Resultado Primário – procura medir o comportamento fiscal do Governo no período e é decorrente da diferença entre a Receita Primária e a Despesa Primária. </w:t>
      </w:r>
    </w:p>
    <w:p w14:paraId="0BEC5DA4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 xml:space="preserve">Resultado Nominal – representa o conjunto das operações fiscais realizadas pela administração pública, adicionando ao resultado primário o saldo da conta de juros, ou seja, a diferença entre os juros ativos e os juros passivos. </w:t>
      </w:r>
    </w:p>
    <w:p w14:paraId="05D111C8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>Dívida Pública Consolidada – constitui-se no montante total, apurado sem duplicidade, das obrigações financeiras do ente da Federação, assumidas em virtude de leis, contratos, convênios ou tratados e da realização de operações de crédito, para amortização em prazo superior a doze meses. As operações de crédito de prazo inferior a doze meses cujas receitas tenham constado do orçamento também integram a dívida pública consolidada.</w:t>
      </w:r>
    </w:p>
    <w:p w14:paraId="40A3D7C9" w14:textId="77777777" w:rsidR="00E03D85" w:rsidRPr="00897514" w:rsidRDefault="00993975" w:rsidP="0089751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97514">
        <w:rPr>
          <w:rFonts w:ascii="Arial" w:eastAsia="Times New Roman" w:hAnsi="Arial" w:cs="Arial"/>
          <w:sz w:val="24"/>
          <w:szCs w:val="24"/>
        </w:rPr>
        <w:t>Dívida Consolidada Líquida – corresponde à dívida pública consolidada menos as deduções que compreendem o ativo disponível e os haveres financeiros, líquidos dos Restos a Pagar Processados.</w:t>
      </w:r>
    </w:p>
    <w:p w14:paraId="689A0159" w14:textId="77777777" w:rsidR="00E03D85" w:rsidRDefault="00E03D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B659D" w14:textId="5E7C390D" w:rsidR="00E03D85" w:rsidRDefault="00993975" w:rsidP="008975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Demonstrativo 1 – Metas Anuais</w:t>
      </w:r>
    </w:p>
    <w:p w14:paraId="40661CF7" w14:textId="77777777" w:rsidR="00E03D85" w:rsidRDefault="0099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B6D3C52" wp14:editId="78AFDA92">
            <wp:extent cx="6068378" cy="3962400"/>
            <wp:effectExtent l="0" t="0" r="0" b="0"/>
            <wp:docPr id="157053609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8378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71FCFC" w14:textId="77777777" w:rsidR="00E03D85" w:rsidRDefault="00E03D85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E1620E4" w14:textId="77777777" w:rsidR="00E03D85" w:rsidRDefault="00E03D8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F87D8E" w14:textId="77777777" w:rsidR="00E03D85" w:rsidRPr="00897514" w:rsidRDefault="00993975" w:rsidP="00897514">
      <w:pPr>
        <w:ind w:left="708" w:right="-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7514">
        <w:rPr>
          <w:rFonts w:ascii="Arial" w:eastAsia="Times New Roman" w:hAnsi="Arial" w:cs="Arial"/>
          <w:b/>
          <w:sz w:val="24"/>
          <w:szCs w:val="24"/>
        </w:rPr>
        <w:t>Demonstrativo 3 – Das Metas Fiscais Atuais Comparadas com as Fixadas nos Três Exercícios Anteriores</w:t>
      </w:r>
    </w:p>
    <w:p w14:paraId="44F5894D" w14:textId="77777777" w:rsidR="00E03D85" w:rsidRDefault="00993975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D610981" wp14:editId="5EB65415">
            <wp:extent cx="5868353" cy="4029075"/>
            <wp:effectExtent l="0" t="0" r="0" b="0"/>
            <wp:docPr id="157053609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353" cy="402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38119" w14:textId="77777777" w:rsidR="00E03D85" w:rsidRDefault="00E03D85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</w:p>
    <w:sectPr w:rsidR="00E03D85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7906" w14:textId="77777777" w:rsidR="00897514" w:rsidRDefault="00897514" w:rsidP="00897514">
      <w:pPr>
        <w:spacing w:after="0" w:line="240" w:lineRule="auto"/>
      </w:pPr>
      <w:r>
        <w:separator/>
      </w:r>
    </w:p>
  </w:endnote>
  <w:endnote w:type="continuationSeparator" w:id="0">
    <w:p w14:paraId="291974F1" w14:textId="77777777" w:rsidR="00897514" w:rsidRDefault="00897514" w:rsidP="0089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CA07" w14:textId="77777777" w:rsidR="00897514" w:rsidRDefault="00897514" w:rsidP="00897514">
      <w:pPr>
        <w:spacing w:after="0" w:line="240" w:lineRule="auto"/>
      </w:pPr>
      <w:r>
        <w:separator/>
      </w:r>
    </w:p>
  </w:footnote>
  <w:footnote w:type="continuationSeparator" w:id="0">
    <w:p w14:paraId="7F3E7652" w14:textId="77777777" w:rsidR="00897514" w:rsidRDefault="00897514" w:rsidP="0089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138" w14:textId="5B1CCE19" w:rsidR="00897514" w:rsidRDefault="00897514" w:rsidP="00897514">
    <w:pPr>
      <w:pStyle w:val="Cabealho"/>
      <w:jc w:val="center"/>
    </w:pPr>
    <w:r>
      <w:rPr>
        <w:rFonts w:ascii="Arial Black" w:hAnsi="Arial Black"/>
        <w:noProof/>
      </w:rPr>
      <w:drawing>
        <wp:inline distT="0" distB="0" distL="0" distR="0" wp14:anchorId="253B9900" wp14:editId="5A3E5002">
          <wp:extent cx="5400040" cy="619125"/>
          <wp:effectExtent l="0" t="0" r="0" b="9525"/>
          <wp:docPr id="4412964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85"/>
    <w:rsid w:val="00897514"/>
    <w:rsid w:val="00993975"/>
    <w:rsid w:val="00E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B57"/>
  <w15:docId w15:val="{29570E90-F4F6-0046-B63F-87A7E17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D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C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97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514"/>
  </w:style>
  <w:style w:type="paragraph" w:styleId="Rodap">
    <w:name w:val="footer"/>
    <w:basedOn w:val="Normal"/>
    <w:link w:val="RodapChar"/>
    <w:uiPriority w:val="99"/>
    <w:unhideWhenUsed/>
    <w:rsid w:val="00897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Ae8SKe6R163TctBpvHwfoIlwzg==">CgMxLjAyCGguZ2pkZ3hzOAByITF1bjlLZHRmdHZwbm83SklmQW9ZSEJzWjdJeWFta1NqXw==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Jocelino Cabral</cp:lastModifiedBy>
  <cp:revision>2</cp:revision>
  <dcterms:created xsi:type="dcterms:W3CDTF">2023-08-31T19:11:00Z</dcterms:created>
  <dcterms:modified xsi:type="dcterms:W3CDTF">2023-08-31T19:11:00Z</dcterms:modified>
</cp:coreProperties>
</file>